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0" w:type="dxa"/>
        <w:tblInd w:w="103" w:type="dxa"/>
        <w:tblLook w:val="04A0"/>
      </w:tblPr>
      <w:tblGrid>
        <w:gridCol w:w="580"/>
        <w:gridCol w:w="2780"/>
        <w:gridCol w:w="6560"/>
      </w:tblGrid>
      <w:tr w:rsidR="00D7316D" w:rsidRPr="00D7316D" w:rsidTr="00D7316D">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jc w:val="center"/>
              <w:rPr>
                <w:rFonts w:ascii="Times New Roman" w:eastAsia="Times New Roman" w:hAnsi="Times New Roman" w:cs="Times New Roman"/>
                <w:b/>
                <w:bCs/>
                <w:color w:val="000000"/>
                <w:sz w:val="20"/>
                <w:szCs w:val="20"/>
                <w:lang w:eastAsia="id-ID"/>
              </w:rPr>
            </w:pPr>
            <w:r w:rsidRPr="00D7316D">
              <w:rPr>
                <w:rFonts w:ascii="Times New Roman" w:eastAsia="Times New Roman" w:hAnsi="Times New Roman" w:cs="Times New Roman"/>
                <w:b/>
                <w:bCs/>
                <w:color w:val="000000"/>
                <w:sz w:val="20"/>
                <w:szCs w:val="20"/>
                <w:lang w:eastAsia="id-ID"/>
              </w:rPr>
              <w:t>No</w:t>
            </w:r>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jc w:val="center"/>
              <w:rPr>
                <w:rFonts w:ascii="Times New Roman" w:eastAsia="Times New Roman" w:hAnsi="Times New Roman" w:cs="Times New Roman"/>
                <w:b/>
                <w:bCs/>
                <w:color w:val="000000"/>
                <w:sz w:val="20"/>
                <w:szCs w:val="20"/>
                <w:lang w:eastAsia="id-ID"/>
              </w:rPr>
            </w:pPr>
            <w:r w:rsidRPr="00D7316D">
              <w:rPr>
                <w:rFonts w:ascii="Times New Roman" w:eastAsia="Times New Roman" w:hAnsi="Times New Roman" w:cs="Times New Roman"/>
                <w:b/>
                <w:bCs/>
                <w:color w:val="000000"/>
                <w:sz w:val="20"/>
                <w:szCs w:val="20"/>
                <w:lang w:eastAsia="id-ID"/>
              </w:rPr>
              <w:t>Sumber Data</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jc w:val="center"/>
              <w:rPr>
                <w:rFonts w:ascii="Times New Roman" w:eastAsia="Times New Roman" w:hAnsi="Times New Roman" w:cs="Times New Roman"/>
                <w:b/>
                <w:bCs/>
                <w:color w:val="000000"/>
                <w:sz w:val="20"/>
                <w:szCs w:val="20"/>
                <w:lang w:eastAsia="id-ID"/>
              </w:rPr>
            </w:pPr>
            <w:r w:rsidRPr="00D7316D">
              <w:rPr>
                <w:rFonts w:ascii="Times New Roman" w:eastAsia="Times New Roman" w:hAnsi="Times New Roman" w:cs="Times New Roman"/>
                <w:b/>
                <w:bCs/>
                <w:color w:val="000000"/>
                <w:sz w:val="20"/>
                <w:szCs w:val="20"/>
                <w:lang w:eastAsia="id-ID"/>
              </w:rPr>
              <w:t>Field Note</w:t>
            </w:r>
          </w:p>
        </w:tc>
      </w:tr>
      <w:tr w:rsidR="00D7316D" w:rsidRPr="00D7316D" w:rsidTr="00D7316D">
        <w:trPr>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jc w:val="center"/>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1</w:t>
            </w:r>
          </w:p>
        </w:tc>
        <w:tc>
          <w:tcPr>
            <w:tcW w:w="2780" w:type="dxa"/>
            <w:tcBorders>
              <w:top w:val="nil"/>
              <w:left w:val="nil"/>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Inspektorat</w:t>
            </w:r>
          </w:p>
        </w:tc>
        <w:tc>
          <w:tcPr>
            <w:tcW w:w="6560" w:type="dxa"/>
            <w:tcBorders>
              <w:top w:val="nil"/>
              <w:left w:val="nil"/>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Inspektorat tidak mau diwawancarai, dengan alasan data-data yang diminta bukan kewenangan inspektorat untuk memberikan data tersebut</w:t>
            </w:r>
          </w:p>
        </w:tc>
      </w:tr>
      <w:tr w:rsidR="00D7316D" w:rsidRPr="00D7316D" w:rsidTr="00D7316D">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jc w:val="center"/>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2</w:t>
            </w:r>
          </w:p>
        </w:tc>
        <w:tc>
          <w:tcPr>
            <w:tcW w:w="2780" w:type="dxa"/>
            <w:tcBorders>
              <w:top w:val="nil"/>
              <w:left w:val="nil"/>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Akademisi</w:t>
            </w:r>
          </w:p>
        </w:tc>
        <w:tc>
          <w:tcPr>
            <w:tcW w:w="6560" w:type="dxa"/>
            <w:tcBorders>
              <w:top w:val="nil"/>
              <w:left w:val="nil"/>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Tidak ada akademisi di Kabupaten Ketapang yang concern tentang isu-isu yang ditanyakan. Peneliti sudah melakukan wawancara dengan Direktur Politeknik Ketapang terkait dengan instrumen penelitian yang ada, namun dari jawaban yang didapat dari responden semua pertanyaan yang ditanyakan, responden menjawab tidak tahu atau tidak concern dengan isu tersebut.</w:t>
            </w:r>
          </w:p>
        </w:tc>
      </w:tr>
      <w:tr w:rsidR="00D7316D" w:rsidRPr="00D7316D" w:rsidTr="00D7316D">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jc w:val="center"/>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3</w:t>
            </w:r>
          </w:p>
        </w:tc>
        <w:tc>
          <w:tcPr>
            <w:tcW w:w="2780" w:type="dxa"/>
            <w:tcBorders>
              <w:top w:val="nil"/>
              <w:left w:val="nil"/>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Satgas REDD+</w:t>
            </w:r>
          </w:p>
        </w:tc>
        <w:tc>
          <w:tcPr>
            <w:tcW w:w="6560" w:type="dxa"/>
            <w:tcBorders>
              <w:top w:val="nil"/>
              <w:left w:val="nil"/>
              <w:bottom w:val="single" w:sz="4" w:space="0" w:color="auto"/>
              <w:right w:val="single" w:sz="4" w:space="0" w:color="auto"/>
            </w:tcBorders>
            <w:shd w:val="clear" w:color="auto" w:fill="auto"/>
            <w:noWrap/>
            <w:vAlign w:val="center"/>
            <w:hideMark/>
          </w:tcPr>
          <w:p w:rsidR="00D7316D" w:rsidRPr="00D7316D" w:rsidRDefault="00D7316D" w:rsidP="00D7316D">
            <w:pPr>
              <w:spacing w:after="0" w:line="240" w:lineRule="auto"/>
              <w:jc w:val="both"/>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belum ada satgas REDD terbentuk di Kabupaten</w:t>
            </w:r>
          </w:p>
        </w:tc>
      </w:tr>
      <w:tr w:rsidR="00D7316D" w:rsidRPr="00D7316D" w:rsidTr="00D7316D">
        <w:trPr>
          <w:trHeight w:val="280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jc w:val="center"/>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4</w:t>
            </w:r>
          </w:p>
        </w:tc>
        <w:tc>
          <w:tcPr>
            <w:tcW w:w="2780" w:type="dxa"/>
            <w:tcBorders>
              <w:top w:val="nil"/>
              <w:left w:val="nil"/>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Dinas Pekerjaan Umum Kab. Ketapang</w:t>
            </w:r>
          </w:p>
        </w:tc>
        <w:tc>
          <w:tcPr>
            <w:tcW w:w="6560" w:type="dxa"/>
            <w:tcBorders>
              <w:top w:val="nil"/>
              <w:left w:val="nil"/>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Dinas PU Ketapang tidak bisa sama sekali diminta untuk diwawancarai. Prosedur baku sudah dilakukan dengan membuat surat permohonan, namun tidak ada respon sama sekali. Ketika ditanya di bagian Tata Usaha kapan bisa dilakukan wawancara, jawabannya belum ada disposisi dari atasan. Prosedur kedua kemudian memasukkan kembali surat permohonan berikut instrumen penelitian, dengan tidak lupa membuat ekspedisi surat, sambil menanyakan kapan bisa dilakukan wawancara. Bagian TU yang menerima silahkan nanti datang kembali saja, atau ditanyakan lewat telpon. ketika dikonfirmasi lewat telpon ternyata no telpon yang diberikan bukan no telpon kantor PU Kab. Ketapang. Kemudian inisiatif kembali untuk datang kembali ke kantor PU, jawabannya masih sama belum ada disposisi dari atasan.</w:t>
            </w:r>
          </w:p>
        </w:tc>
      </w:tr>
      <w:tr w:rsidR="00D7316D" w:rsidRPr="00D7316D" w:rsidTr="00D7316D">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jc w:val="center"/>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5</w:t>
            </w:r>
          </w:p>
        </w:tc>
        <w:tc>
          <w:tcPr>
            <w:tcW w:w="2780" w:type="dxa"/>
            <w:tcBorders>
              <w:top w:val="nil"/>
              <w:left w:val="nil"/>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KPH</w:t>
            </w:r>
          </w:p>
        </w:tc>
        <w:tc>
          <w:tcPr>
            <w:tcW w:w="6560" w:type="dxa"/>
            <w:tcBorders>
              <w:top w:val="nil"/>
              <w:left w:val="nil"/>
              <w:bottom w:val="single" w:sz="4" w:space="0" w:color="auto"/>
              <w:right w:val="single" w:sz="4" w:space="0" w:color="auto"/>
            </w:tcBorders>
            <w:shd w:val="clear" w:color="auto" w:fill="auto"/>
            <w:vAlign w:val="center"/>
            <w:hideMark/>
          </w:tcPr>
          <w:p w:rsidR="00D7316D" w:rsidRPr="00D7316D" w:rsidRDefault="00D7316D" w:rsidP="00D7316D">
            <w:pPr>
              <w:spacing w:after="0" w:line="240" w:lineRule="auto"/>
              <w:rPr>
                <w:rFonts w:ascii="Times New Roman" w:eastAsia="Times New Roman" w:hAnsi="Times New Roman" w:cs="Times New Roman"/>
                <w:color w:val="000000"/>
                <w:sz w:val="20"/>
                <w:szCs w:val="20"/>
                <w:lang w:eastAsia="id-ID"/>
              </w:rPr>
            </w:pPr>
            <w:r w:rsidRPr="00D7316D">
              <w:rPr>
                <w:rFonts w:ascii="Times New Roman" w:eastAsia="Times New Roman" w:hAnsi="Times New Roman" w:cs="Times New Roman"/>
                <w:color w:val="000000"/>
                <w:sz w:val="20"/>
                <w:szCs w:val="20"/>
                <w:lang w:eastAsia="id-ID"/>
              </w:rPr>
              <w:t>KPH belum ada di Kabupaten Ketapang.</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AD0140"/>
    <w:rsid w:val="00D7316D"/>
    <w:rsid w:val="00D74DB4"/>
    <w:rsid w:val="00F76A79"/>
    <w:rsid w:val="00F8030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4758409">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2012-10-16T02:32:00Z</dcterms:created>
  <dcterms:modified xsi:type="dcterms:W3CDTF">2012-10-16T06:11:00Z</dcterms:modified>
</cp:coreProperties>
</file>